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D3F1" w14:textId="77777777" w:rsidR="0086552B" w:rsidRPr="0086552B" w:rsidRDefault="0086552B" w:rsidP="0086552B">
      <w:pPr>
        <w:numPr>
          <w:ilvl w:val="0"/>
          <w:numId w:val="4"/>
        </w:numPr>
        <w:tabs>
          <w:tab w:val="clear" w:pos="720"/>
        </w:tabs>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eastAsia="fr-FR"/>
          <w14:ligatures w14:val="none"/>
        </w:rPr>
      </w:pPr>
      <w:r w:rsidRPr="0086552B">
        <w:rPr>
          <w:rFonts w:ascii="Times New Roman" w:eastAsia="Times New Roman" w:hAnsi="Times New Roman" w:cs="Times New Roman"/>
          <w:b/>
          <w:bCs/>
          <w:kern w:val="36"/>
          <w:sz w:val="48"/>
          <w:szCs w:val="48"/>
          <w:lang w:eastAsia="fr-FR"/>
          <w14:ligatures w14:val="none"/>
        </w:rPr>
        <w:t>Sécurité des navires : ce qui change pour la plaisance et le NUC</w:t>
      </w:r>
    </w:p>
    <w:p w14:paraId="477F77E0" w14:textId="77777777" w:rsidR="0086552B" w:rsidRPr="0086552B" w:rsidRDefault="0086552B" w:rsidP="0086552B">
      <w:pPr>
        <w:spacing w:after="0"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7 juin 2026</w:t>
      </w:r>
    </w:p>
    <w:p w14:paraId="0026B67A" w14:textId="77777777" w:rsidR="0086552B" w:rsidRPr="0086552B" w:rsidRDefault="0086552B" w:rsidP="0086552B">
      <w:pPr>
        <w:spacing w:after="0"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noProof/>
          <w:kern w:val="0"/>
          <w:lang w:eastAsia="fr-FR"/>
          <w14:ligatures w14:val="none"/>
        </w:rPr>
        <w:drawing>
          <wp:inline distT="0" distB="0" distL="0" distR="0" wp14:anchorId="7EF0B18D" wp14:editId="72D867D4">
            <wp:extent cx="6202680" cy="4686300"/>
            <wp:effectExtent l="0" t="0" r="762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2680" cy="4686300"/>
                    </a:xfrm>
                    <a:prstGeom prst="rect">
                      <a:avLst/>
                    </a:prstGeom>
                    <a:noFill/>
                    <a:ln>
                      <a:noFill/>
                    </a:ln>
                  </pic:spPr>
                </pic:pic>
              </a:graphicData>
            </a:graphic>
          </wp:inline>
        </w:drawing>
      </w:r>
    </w:p>
    <w:p w14:paraId="68332196"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Le cadre réglementaire de la navigation de plaisance en mer vient de connaître une nouvelle mise à jour. Publié le 6 juin 2026, un arrêté daté du 21 mai modifie le texte de référence du 23 novembre 1987 (en particulier les divisions 240 et 241) afin d’ajuster plusieurs définitions, exigences de sécurité et règles de cohérence à bord.</w:t>
      </w:r>
    </w:p>
    <w:p w14:paraId="0C9C6B56"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1. Une clarification structurelle des définitions</w:t>
      </w:r>
    </w:p>
    <w:p w14:paraId="67CE7D0F"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Afin de rendre la lecture de la « Division 240 » plus fluide et d’éviter les redondances, le législateur a réorganisé l’article 240-1.02. Un alinéa introductif répétitif a été supprimé, et les différentes sections ont été clarifiées sous une nouvelle nomenclature hiérarchisée :</w:t>
      </w:r>
    </w:p>
    <w:p w14:paraId="77A098D7" w14:textId="77777777" w:rsidR="0086552B" w:rsidRPr="0086552B" w:rsidRDefault="0086552B" w:rsidP="0086552B">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Section II :</w:t>
      </w:r>
      <w:r w:rsidRPr="0086552B">
        <w:rPr>
          <w:rFonts w:ascii="Times New Roman" w:eastAsia="Times New Roman" w:hAnsi="Times New Roman" w:cs="Times New Roman"/>
          <w:kern w:val="0"/>
          <w:lang w:eastAsia="fr-FR"/>
          <w14:ligatures w14:val="none"/>
        </w:rPr>
        <w:t xml:space="preserve"> Définitions et conditions de prises de mesures (précisant comment mesurer la ligne de flottaison, le déplacement lège ou la longueur de coque).</w:t>
      </w:r>
    </w:p>
    <w:p w14:paraId="67145BA0" w14:textId="77777777" w:rsidR="0086552B" w:rsidRPr="0086552B" w:rsidRDefault="0086552B" w:rsidP="0086552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Section III :</w:t>
      </w:r>
      <w:r w:rsidRPr="0086552B">
        <w:rPr>
          <w:rFonts w:ascii="Times New Roman" w:eastAsia="Times New Roman" w:hAnsi="Times New Roman" w:cs="Times New Roman"/>
          <w:kern w:val="0"/>
          <w:lang w:eastAsia="fr-FR"/>
          <w14:ligatures w14:val="none"/>
        </w:rPr>
        <w:t xml:space="preserve"> Définition des embarcations. C’est ici qu’est réinsérée la définition du </w:t>
      </w:r>
      <w:r w:rsidRPr="0086552B">
        <w:rPr>
          <w:rFonts w:ascii="Times New Roman" w:eastAsia="Times New Roman" w:hAnsi="Times New Roman" w:cs="Times New Roman"/>
          <w:b/>
          <w:bCs/>
          <w:kern w:val="0"/>
          <w:lang w:eastAsia="fr-FR"/>
          <w14:ligatures w14:val="none"/>
        </w:rPr>
        <w:t>navire à moteur</w:t>
      </w:r>
      <w:r w:rsidRPr="0086552B">
        <w:rPr>
          <w:rFonts w:ascii="Times New Roman" w:eastAsia="Times New Roman" w:hAnsi="Times New Roman" w:cs="Times New Roman"/>
          <w:kern w:val="0"/>
          <w:lang w:eastAsia="fr-FR"/>
          <w14:ligatures w14:val="none"/>
        </w:rPr>
        <w:t xml:space="preserve">, désigné textuellement comme tout navire autre que les embarcations </w:t>
      </w:r>
      <w:r w:rsidRPr="0086552B">
        <w:rPr>
          <w:rFonts w:ascii="Times New Roman" w:eastAsia="Times New Roman" w:hAnsi="Times New Roman" w:cs="Times New Roman"/>
          <w:kern w:val="0"/>
          <w:lang w:eastAsia="fr-FR"/>
          <w14:ligatures w14:val="none"/>
        </w:rPr>
        <w:lastRenderedPageBreak/>
        <w:t>spécifiques listées (comme les engins de plage, annexes, voiliers, ou skates/planches nautiques).</w:t>
      </w:r>
    </w:p>
    <w:p w14:paraId="130BFC25" w14:textId="77777777" w:rsidR="0086552B" w:rsidRPr="0086552B" w:rsidRDefault="0086552B" w:rsidP="0086552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Section IV :</w:t>
      </w:r>
      <w:r w:rsidRPr="0086552B">
        <w:rPr>
          <w:rFonts w:ascii="Times New Roman" w:eastAsia="Times New Roman" w:hAnsi="Times New Roman" w:cs="Times New Roman"/>
          <w:kern w:val="0"/>
          <w:lang w:eastAsia="fr-FR"/>
          <w14:ligatures w14:val="none"/>
        </w:rPr>
        <w:t xml:space="preserve"> Divers (notion d’abri, rôle du chef de bord, espace habitable, etc.).</w:t>
      </w:r>
    </w:p>
    <w:p w14:paraId="4DD4C3F3"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2. Radiocommunications : la veille VHF sur le canal 16 sanctuarisée</w:t>
      </w:r>
    </w:p>
    <w:p w14:paraId="766E1711"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L’exigence de sécurité concernant les communications en mer s’affine. L »article 7’arrêté rappelle que tout navire équipé d’une installation radioélectrique VHF (qu’elle soit fixe ou portative) doit, lorsqu’il est à la mer et que cela est possible, </w:t>
      </w:r>
      <w:r w:rsidRPr="0086552B">
        <w:rPr>
          <w:rFonts w:ascii="Times New Roman" w:eastAsia="Times New Roman" w:hAnsi="Times New Roman" w:cs="Times New Roman"/>
          <w:b/>
          <w:bCs/>
          <w:kern w:val="0"/>
          <w:lang w:eastAsia="fr-FR"/>
          <w14:ligatures w14:val="none"/>
        </w:rPr>
        <w:t>rester en permanence à l’écoute de la voie 16 (156,8 MHz)</w:t>
      </w:r>
      <w:r w:rsidRPr="0086552B">
        <w:rPr>
          <w:rFonts w:ascii="Times New Roman" w:eastAsia="Times New Roman" w:hAnsi="Times New Roman" w:cs="Times New Roman"/>
          <w:kern w:val="0"/>
          <w:lang w:eastAsia="fr-FR"/>
          <w14:ligatures w14:val="none"/>
        </w:rPr>
        <w:t>.</w:t>
      </w:r>
    </w:p>
    <w:p w14:paraId="7877E68D"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La nouveauté réside dans une précision ergonomique et opérationnelle essentielle : </w:t>
      </w:r>
      <w:r w:rsidRPr="0086552B">
        <w:rPr>
          <w:rFonts w:ascii="Times New Roman" w:eastAsia="Times New Roman" w:hAnsi="Times New Roman" w:cs="Times New Roman"/>
          <w:b/>
          <w:bCs/>
          <w:kern w:val="0"/>
          <w:lang w:eastAsia="fr-FR"/>
          <w14:ligatures w14:val="none"/>
        </w:rPr>
        <w:t>cette veille doit obligatoirement être assurée au poste de navigation habituel du navire</w:t>
      </w:r>
      <w:r w:rsidRPr="0086552B">
        <w:rPr>
          <w:rFonts w:ascii="Times New Roman" w:eastAsia="Times New Roman" w:hAnsi="Times New Roman" w:cs="Times New Roman"/>
          <w:kern w:val="0"/>
          <w:lang w:eastAsia="fr-FR"/>
          <w14:ligatures w14:val="none"/>
        </w:rPr>
        <w:t>. L’objectif est d’assurer que le chef de bord ou l’officier de quart puisse entendre instantanément un message de détresse sans avoir à quitter la barre ou le cockpit.</w:t>
      </w:r>
    </w:p>
    <w:p w14:paraId="2AD4A756"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3. Équipements individuels de flottabilité (EIF) et trousse de secours</w:t>
      </w:r>
    </w:p>
    <w:p w14:paraId="3B244850"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Plusieurs ajustements techniques ont été apportés concernant le matériel de sécurité :</w:t>
      </w:r>
    </w:p>
    <w:p w14:paraId="79F6F622" w14:textId="77777777" w:rsidR="0086552B" w:rsidRPr="0086552B" w:rsidRDefault="0086552B" w:rsidP="0086552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Toilettage sémantique :</w:t>
      </w:r>
      <w:r w:rsidRPr="0086552B">
        <w:rPr>
          <w:rFonts w:ascii="Times New Roman" w:eastAsia="Times New Roman" w:hAnsi="Times New Roman" w:cs="Times New Roman"/>
          <w:kern w:val="0"/>
          <w:lang w:eastAsia="fr-FR"/>
          <w14:ligatures w14:val="none"/>
        </w:rPr>
        <w:t xml:space="preserve"> Dans les articles précédents traitant des annexes et des engins à propulsion humaine (kayaks, avirons, etc.), la mention restrictive de « N de flottabilité » a été supprimée ou corrigée pour s’aligner sur les réalités des équipements de protection individuelle modernes.</w:t>
      </w:r>
    </w:p>
    <w:p w14:paraId="124D64B9" w14:textId="77777777" w:rsidR="0086552B" w:rsidRPr="0086552B" w:rsidRDefault="0086552B" w:rsidP="0086552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Conformité Européenne :</w:t>
      </w:r>
      <w:r w:rsidRPr="0086552B">
        <w:rPr>
          <w:rFonts w:ascii="Times New Roman" w:eastAsia="Times New Roman" w:hAnsi="Times New Roman" w:cs="Times New Roman"/>
          <w:kern w:val="0"/>
          <w:lang w:eastAsia="fr-FR"/>
          <w14:ligatures w14:val="none"/>
        </w:rPr>
        <w:t xml:space="preserve"> Le texte entérine l’intégration des EIF répondant aux dispositions du règlement européen 2016/425/CE et marqués « CE ». Par ailleurs, pour les plus jeunes, la règle reste stricte : </w:t>
      </w:r>
      <w:r w:rsidRPr="0086552B">
        <w:rPr>
          <w:rFonts w:ascii="Times New Roman" w:eastAsia="Times New Roman" w:hAnsi="Times New Roman" w:cs="Times New Roman"/>
          <w:b/>
          <w:bCs/>
          <w:kern w:val="0"/>
          <w:lang w:eastAsia="fr-FR"/>
          <w14:ligatures w14:val="none"/>
        </w:rPr>
        <w:t>les enfants de 30 kg maximum doivent disposer d’un EIF de niveau de performance 100</w:t>
      </w:r>
      <w:r w:rsidRPr="0086552B">
        <w:rPr>
          <w:rFonts w:ascii="Times New Roman" w:eastAsia="Times New Roman" w:hAnsi="Times New Roman" w:cs="Times New Roman"/>
          <w:kern w:val="0"/>
          <w:lang w:eastAsia="fr-FR"/>
          <w14:ligatures w14:val="none"/>
        </w:rPr>
        <w:t>, et ce, peu importe la distance qui sépare le navire d’un abri.</w:t>
      </w:r>
    </w:p>
    <w:p w14:paraId="3E1DD61D" w14:textId="77777777" w:rsidR="0086552B" w:rsidRPr="0086552B" w:rsidRDefault="0086552B" w:rsidP="0086552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Trousse de secours :</w:t>
      </w:r>
      <w:r w:rsidRPr="0086552B">
        <w:rPr>
          <w:rFonts w:ascii="Times New Roman" w:eastAsia="Times New Roman" w:hAnsi="Times New Roman" w:cs="Times New Roman"/>
          <w:kern w:val="0"/>
          <w:lang w:eastAsia="fr-FR"/>
          <w14:ligatures w14:val="none"/>
        </w:rPr>
        <w:t xml:space="preserve"> Une correction de renvoi a été effectuée dans la liste du matériel obligatoire. La trousse de secours doit désormais explicitement être conforme à l’</w:t>
      </w:r>
      <w:r w:rsidRPr="0086552B">
        <w:rPr>
          <w:rFonts w:ascii="Times New Roman" w:eastAsia="Times New Roman" w:hAnsi="Times New Roman" w:cs="Times New Roman"/>
          <w:b/>
          <w:bCs/>
          <w:kern w:val="0"/>
          <w:lang w:eastAsia="fr-FR"/>
          <w14:ligatures w14:val="none"/>
        </w:rPr>
        <w:t>article 240-2.19</w:t>
      </w:r>
      <w:r w:rsidRPr="0086552B">
        <w:rPr>
          <w:rFonts w:ascii="Times New Roman" w:eastAsia="Times New Roman" w:hAnsi="Times New Roman" w:cs="Times New Roman"/>
          <w:kern w:val="0"/>
          <w:lang w:eastAsia="fr-FR"/>
          <w14:ligatures w14:val="none"/>
        </w:rPr>
        <w:t xml:space="preserve"> (et non plus au 240-2.16 comme l’indiquait une ancienne version).</w:t>
      </w:r>
    </w:p>
    <w:p w14:paraId="19ABE643"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4. Rappel des fondamentaux : la responsabilité du chef de bord</w:t>
      </w:r>
    </w:p>
    <w:p w14:paraId="72AD5601"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L’arrêté de 2026 est également l’occasion de remettre en lumière les règles fondamentales de navigation qui restent inchangées mais capitales :</w:t>
      </w:r>
    </w:p>
    <w:p w14:paraId="7EC95101" w14:textId="77777777" w:rsidR="0086552B" w:rsidRPr="0086552B" w:rsidRDefault="0086552B" w:rsidP="0086552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Capacité maximale :</w:t>
      </w:r>
      <w:r w:rsidRPr="0086552B">
        <w:rPr>
          <w:rFonts w:ascii="Times New Roman" w:eastAsia="Times New Roman" w:hAnsi="Times New Roman" w:cs="Times New Roman"/>
          <w:kern w:val="0"/>
          <w:lang w:eastAsia="fr-FR"/>
          <w14:ligatures w14:val="none"/>
        </w:rPr>
        <w:t xml:space="preserve"> Sauf cas de force majeure, le nombre maximal de personnes et la charge recommandée ne doivent jamais être dépassés. À noter que les enfants de moins de 1 an ne comptent pas dans ce calcul.</w:t>
      </w:r>
    </w:p>
    <w:p w14:paraId="0C35A241" w14:textId="77777777" w:rsidR="0086552B" w:rsidRPr="0086552B" w:rsidRDefault="0086552B" w:rsidP="0086552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lastRenderedPageBreak/>
        <w:t>Le coupe-circuit :</w:t>
      </w:r>
      <w:r w:rsidRPr="0086552B">
        <w:rPr>
          <w:rFonts w:ascii="Times New Roman" w:eastAsia="Times New Roman" w:hAnsi="Times New Roman" w:cs="Times New Roman"/>
          <w:kern w:val="0"/>
          <w:lang w:eastAsia="fr-FR"/>
          <w14:ligatures w14:val="none"/>
        </w:rPr>
        <w:t xml:space="preserve"> Obligatoire sur les moteurs hors-bord (barre ou commande déportée) et les véhicules nautiques à moteur, le cordon du coupe-circuit </w:t>
      </w:r>
      <w:r w:rsidRPr="0086552B">
        <w:rPr>
          <w:rFonts w:ascii="Times New Roman" w:eastAsia="Times New Roman" w:hAnsi="Times New Roman" w:cs="Times New Roman"/>
          <w:b/>
          <w:bCs/>
          <w:kern w:val="0"/>
          <w:lang w:eastAsia="fr-FR"/>
          <w14:ligatures w14:val="none"/>
        </w:rPr>
        <w:t>doit être relié au poignet, à la jambe ou à l’EIF du pilote</w:t>
      </w:r>
      <w:r w:rsidRPr="0086552B">
        <w:rPr>
          <w:rFonts w:ascii="Times New Roman" w:eastAsia="Times New Roman" w:hAnsi="Times New Roman" w:cs="Times New Roman"/>
          <w:kern w:val="0"/>
          <w:lang w:eastAsia="fr-FR"/>
          <w14:ligatures w14:val="none"/>
        </w:rPr>
        <w:t xml:space="preserve"> dès que le moteur tourne. Le texte insiste : il est interdit de le rallonger ou de le modifier, afin de garantir l’arrêt immédiat du moteur en cas de chute.</w:t>
      </w:r>
    </w:p>
    <w:p w14:paraId="009E5A14"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5. Modifications de la Division 240 du règlement général</w:t>
      </w:r>
    </w:p>
    <w:p w14:paraId="55F26929"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La réglementation concernant la sécurité des navires de plaisance et des engins nautiques évolue. La Division 240, qui régit les conditions de navigation et le matériel d’armement de sécurité à bord, fait l’objet de plusieurs modifications ciblées. Du </w:t>
      </w:r>
      <w:r w:rsidRPr="0086552B">
        <w:rPr>
          <w:rFonts w:ascii="Times New Roman" w:eastAsia="Times New Roman" w:hAnsi="Times New Roman" w:cs="Times New Roman"/>
          <w:b/>
          <w:bCs/>
          <w:kern w:val="0"/>
          <w:lang w:eastAsia="fr-FR"/>
          <w14:ligatures w14:val="none"/>
        </w:rPr>
        <w:t>matériel obligatoire</w:t>
      </w:r>
      <w:r w:rsidRPr="0086552B">
        <w:rPr>
          <w:rFonts w:ascii="Times New Roman" w:eastAsia="Times New Roman" w:hAnsi="Times New Roman" w:cs="Times New Roman"/>
          <w:kern w:val="0"/>
          <w:lang w:eastAsia="fr-FR"/>
          <w14:ligatures w14:val="none"/>
        </w:rPr>
        <w:t xml:space="preserve"> au profil des </w:t>
      </w:r>
      <w:r w:rsidRPr="0086552B">
        <w:rPr>
          <w:rFonts w:ascii="Times New Roman" w:eastAsia="Times New Roman" w:hAnsi="Times New Roman" w:cs="Times New Roman"/>
          <w:b/>
          <w:bCs/>
          <w:kern w:val="0"/>
          <w:lang w:eastAsia="fr-FR"/>
          <w14:ligatures w14:val="none"/>
        </w:rPr>
        <w:t>nouvelles planches motorisées</w:t>
      </w:r>
      <w:r w:rsidRPr="0086552B">
        <w:rPr>
          <w:rFonts w:ascii="Times New Roman" w:eastAsia="Times New Roman" w:hAnsi="Times New Roman" w:cs="Times New Roman"/>
          <w:kern w:val="0"/>
          <w:lang w:eastAsia="fr-FR"/>
          <w14:ligatures w14:val="none"/>
        </w:rPr>
        <w:t>, voici un décryptage des principaux changements à retenir :</w:t>
      </w:r>
    </w:p>
    <w:p w14:paraId="4FB93711"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Planches nautiques à moteur : une définition clarifiée</w:t>
      </w:r>
    </w:p>
    <w:p w14:paraId="0F825F12"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Face à l’émergence des nouvelles technologies de glisse (comme les e-foils), le texte apporte une distinction cruciale concernant les planches nautiques à moteur de moins de 2,5 mètres.</w:t>
      </w:r>
    </w:p>
    <w:p w14:paraId="1785EB7D" w14:textId="77777777" w:rsidR="0086552B" w:rsidRPr="0086552B" w:rsidRDefault="0086552B" w:rsidP="0086552B">
      <w:pPr>
        <w:numPr>
          <w:ilvl w:val="0"/>
          <w:numId w:val="1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Ce qui entre dans la définition :</w:t>
      </w:r>
      <w:r w:rsidRPr="0086552B">
        <w:rPr>
          <w:rFonts w:ascii="Times New Roman" w:eastAsia="Times New Roman" w:hAnsi="Times New Roman" w:cs="Times New Roman"/>
          <w:kern w:val="0"/>
          <w:lang w:eastAsia="fr-FR"/>
          <w14:ligatures w14:val="none"/>
        </w:rPr>
        <w:t xml:space="preserve"> Les planches équipées d’un moteur thermique ou électrique (avec ou sans foil), contrôlées par une gâchette (ou autre commande) et dirigées par les mouvements du corps.</w:t>
      </w:r>
    </w:p>
    <w:p w14:paraId="07A7EBDC" w14:textId="77777777" w:rsidR="0086552B" w:rsidRPr="0086552B" w:rsidRDefault="0086552B" w:rsidP="0086552B">
      <w:pPr>
        <w:numPr>
          <w:ilvl w:val="0"/>
          <w:numId w:val="1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Ce qui en est exclu (Nouveauté) :</w:t>
      </w:r>
      <w:r w:rsidRPr="0086552B">
        <w:rPr>
          <w:rFonts w:ascii="Times New Roman" w:eastAsia="Times New Roman" w:hAnsi="Times New Roman" w:cs="Times New Roman"/>
          <w:kern w:val="0"/>
          <w:lang w:eastAsia="fr-FR"/>
          <w14:ligatures w14:val="none"/>
        </w:rPr>
        <w:t xml:space="preserve"> Les </w:t>
      </w:r>
      <w:r w:rsidRPr="0086552B">
        <w:rPr>
          <w:rFonts w:ascii="Times New Roman" w:eastAsia="Times New Roman" w:hAnsi="Times New Roman" w:cs="Times New Roman"/>
          <w:b/>
          <w:bCs/>
          <w:kern w:val="0"/>
          <w:lang w:eastAsia="fr-FR"/>
          <w14:ligatures w14:val="none"/>
        </w:rPr>
        <w:t>planches à assistance électrique</w:t>
      </w:r>
      <w:r w:rsidRPr="0086552B">
        <w:rPr>
          <w:rFonts w:ascii="Times New Roman" w:eastAsia="Times New Roman" w:hAnsi="Times New Roman" w:cs="Times New Roman"/>
          <w:kern w:val="0"/>
          <w:lang w:eastAsia="fr-FR"/>
          <w14:ligatures w14:val="none"/>
        </w:rPr>
        <w:t>. Dès lors que le dispositif électrique ne fait que compléter temporairement l’action humaine (sans s’y substituer ni permettre une propulsion continue), la planche n’est pas considérée comme une planche nautique à moteur. Dans ce cas, la source principale de déplacement doit rester la force du pratiquant ou les éléments naturels (vagues, vent, rame).</w:t>
      </w:r>
    </w:p>
    <w:p w14:paraId="50101B68"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Compas magnétique : de nouvelles exigences techniques</w:t>
      </w:r>
    </w:p>
    <w:p w14:paraId="14F83F5F"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Le compas magnétique obligatoire pour certaines catégories de navigation voit ses spécifications techniques s’affiner pour s’adapter aux réalités des installations à bord.</w:t>
      </w:r>
    </w:p>
    <w:p w14:paraId="12A3EA25" w14:textId="77777777" w:rsidR="0086552B" w:rsidRPr="0086552B" w:rsidRDefault="0086552B" w:rsidP="0086552B">
      <w:pPr>
        <w:numPr>
          <w:ilvl w:val="0"/>
          <w:numId w:val="1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Précision de terminologie :</w:t>
      </w:r>
      <w:r w:rsidRPr="0086552B">
        <w:rPr>
          <w:rFonts w:ascii="Times New Roman" w:eastAsia="Times New Roman" w:hAnsi="Times New Roman" w:cs="Times New Roman"/>
          <w:kern w:val="0"/>
          <w:lang w:eastAsia="fr-FR"/>
          <w14:ligatures w14:val="none"/>
        </w:rPr>
        <w:t xml:space="preserve"> Le texte impose désormais explicitement un compas magnétique </w:t>
      </w:r>
      <w:r w:rsidRPr="0086552B">
        <w:rPr>
          <w:rFonts w:ascii="Times New Roman" w:eastAsia="Times New Roman" w:hAnsi="Times New Roman" w:cs="Times New Roman"/>
          <w:b/>
          <w:bCs/>
          <w:kern w:val="0"/>
          <w:lang w:eastAsia="fr-FR"/>
          <w14:ligatures w14:val="none"/>
        </w:rPr>
        <w:t>« de route »</w:t>
      </w:r>
      <w:r w:rsidRPr="0086552B">
        <w:rPr>
          <w:rFonts w:ascii="Times New Roman" w:eastAsia="Times New Roman" w:hAnsi="Times New Roman" w:cs="Times New Roman"/>
          <w:kern w:val="0"/>
          <w:lang w:eastAsia="fr-FR"/>
          <w14:ligatures w14:val="none"/>
        </w:rPr>
        <w:t>.</w:t>
      </w:r>
    </w:p>
    <w:p w14:paraId="355A3D9F" w14:textId="77777777" w:rsidR="0086552B" w:rsidRPr="0086552B" w:rsidRDefault="0086552B" w:rsidP="0086552B">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Compensation des perturbations :</w:t>
      </w:r>
      <w:r w:rsidRPr="0086552B">
        <w:rPr>
          <w:rFonts w:ascii="Times New Roman" w:eastAsia="Times New Roman" w:hAnsi="Times New Roman" w:cs="Times New Roman"/>
          <w:kern w:val="0"/>
          <w:lang w:eastAsia="fr-FR"/>
          <w14:ligatures w14:val="none"/>
        </w:rPr>
        <w:t xml:space="preserve"> L’obligation de compensation est désormais contextualisée : elle doit s’effectuer </w:t>
      </w:r>
      <w:r w:rsidRPr="0086552B">
        <w:rPr>
          <w:rFonts w:ascii="Times New Roman" w:eastAsia="Times New Roman" w:hAnsi="Times New Roman" w:cs="Times New Roman"/>
          <w:b/>
          <w:bCs/>
          <w:kern w:val="0"/>
          <w:lang w:eastAsia="fr-FR"/>
          <w14:ligatures w14:val="none"/>
        </w:rPr>
        <w:t>« si nécessaire, en fonction du navire, de ses champs perturbateurs, et de l’emplacement du compas à bord »</w:t>
      </w:r>
      <w:r w:rsidRPr="0086552B">
        <w:rPr>
          <w:rFonts w:ascii="Times New Roman" w:eastAsia="Times New Roman" w:hAnsi="Times New Roman" w:cs="Times New Roman"/>
          <w:kern w:val="0"/>
          <w:lang w:eastAsia="fr-FR"/>
          <w14:ligatures w14:val="none"/>
        </w:rPr>
        <w:t>.</w:t>
      </w:r>
    </w:p>
    <w:p w14:paraId="61FACEBB" w14:textId="77777777" w:rsidR="0086552B" w:rsidRPr="0086552B" w:rsidRDefault="0086552B" w:rsidP="0086552B">
      <w:pPr>
        <w:numPr>
          <w:ilvl w:val="0"/>
          <w:numId w:val="1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Éclairage flexible :</w:t>
      </w:r>
      <w:r w:rsidRPr="0086552B">
        <w:rPr>
          <w:rFonts w:ascii="Times New Roman" w:eastAsia="Times New Roman" w:hAnsi="Times New Roman" w:cs="Times New Roman"/>
          <w:kern w:val="0"/>
          <w:lang w:eastAsia="fr-FR"/>
          <w14:ligatures w14:val="none"/>
        </w:rPr>
        <w:t xml:space="preserve"> Alors que l’ancienne version exigeait simplement un éclairage , la nouvelle formulation autorise un éclairage </w:t>
      </w:r>
      <w:r w:rsidRPr="0086552B">
        <w:rPr>
          <w:rFonts w:ascii="Times New Roman" w:eastAsia="Times New Roman" w:hAnsi="Times New Roman" w:cs="Times New Roman"/>
          <w:b/>
          <w:bCs/>
          <w:kern w:val="0"/>
          <w:lang w:eastAsia="fr-FR"/>
          <w14:ligatures w14:val="none"/>
        </w:rPr>
        <w:t>« interne ou pouvoir être éclairé par un éclairage externe »</w:t>
      </w:r>
      <w:r w:rsidRPr="0086552B">
        <w:rPr>
          <w:rFonts w:ascii="Times New Roman" w:eastAsia="Times New Roman" w:hAnsi="Times New Roman" w:cs="Times New Roman"/>
          <w:kern w:val="0"/>
          <w:lang w:eastAsia="fr-FR"/>
          <w14:ligatures w14:val="none"/>
        </w:rPr>
        <w:t>.</w:t>
      </w:r>
    </w:p>
    <w:p w14:paraId="6DD9D132"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Ces règles s’appliquent directement à la navigation côtière (de 2 à moins de 6 milles d’un abri) , ainsi qu’aux embarcations propulsées par l’énergie humaine s’aventurant jusqu’à 6 milles.</w:t>
      </w:r>
    </w:p>
    <w:p w14:paraId="583B4F44"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lastRenderedPageBreak/>
        <w:t>Navigation semi-hauturière (6 à moins de 60 milles) : alignement des règles</w:t>
      </w:r>
    </w:p>
    <w:p w14:paraId="765CD751"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Un changement important concerne les navires effectuant une navigation semi-hauturière.</w:t>
      </w:r>
    </w:p>
    <w:p w14:paraId="62BD22AE"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Auparavant, la réglementation interdisait formellement de remplacer le compas magnétique par un positionnement satellitaire (GPS) faisant fonction de compas pour cette catégorie de distance. La nouvelle mouture simplifie la règle en renvoyant directement au matériel côtier standard:</w:t>
      </w:r>
    </w:p>
    <w:p w14:paraId="0CE8488D" w14:textId="77777777" w:rsidR="0086552B" w:rsidRPr="0086552B" w:rsidRDefault="0086552B" w:rsidP="0086552B">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Le matériel requis à moins de 6 milles s’applique.</w:t>
      </w:r>
    </w:p>
    <w:p w14:paraId="46340CCF" w14:textId="77777777" w:rsidR="0086552B" w:rsidRPr="0086552B" w:rsidRDefault="0086552B" w:rsidP="0086552B">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L’obligation stricte d’embarquer </w:t>
      </w:r>
      <w:r w:rsidRPr="0086552B">
        <w:rPr>
          <w:rFonts w:ascii="Times New Roman" w:eastAsia="Times New Roman" w:hAnsi="Times New Roman" w:cs="Times New Roman"/>
          <w:b/>
          <w:bCs/>
          <w:kern w:val="0"/>
          <w:lang w:eastAsia="fr-FR"/>
          <w14:ligatures w14:val="none"/>
        </w:rPr>
        <w:t>autant d’Équipements Individuels de Flottabilité (EIF) de performance 150 N</w:t>
      </w:r>
      <w:r w:rsidRPr="0086552B">
        <w:rPr>
          <w:rFonts w:ascii="Times New Roman" w:eastAsia="Times New Roman" w:hAnsi="Times New Roman" w:cs="Times New Roman"/>
          <w:kern w:val="0"/>
          <w:lang w:eastAsia="fr-FR"/>
          <w14:ligatures w14:val="none"/>
        </w:rPr>
        <w:t xml:space="preserve"> que de personnes à bord reste inchangée.</w:t>
      </w:r>
    </w:p>
    <w:p w14:paraId="55DC34E5"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Embarcations à énergie humaine jusqu’à 6 milles : sécurité renforcée</w:t>
      </w:r>
    </w:p>
    <w:p w14:paraId="7BE60AE8"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Pour les amateurs de grandes randonnées en mer (en kayak de mer par exemple), la mise à jour harmonise les équipements de navigation.</w:t>
      </w:r>
    </w:p>
    <w:p w14:paraId="433D5EB1"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Pour naviguer jusqu’à </w:t>
      </w:r>
      <w:r w:rsidRPr="0086552B">
        <w:rPr>
          <w:rFonts w:ascii="Times New Roman" w:eastAsia="Times New Roman" w:hAnsi="Times New Roman" w:cs="Times New Roman"/>
          <w:b/>
          <w:bCs/>
          <w:kern w:val="0"/>
          <w:lang w:eastAsia="fr-FR"/>
          <w14:ligatures w14:val="none"/>
        </w:rPr>
        <w:t>6 milles</w:t>
      </w:r>
      <w:r w:rsidRPr="0086552B">
        <w:rPr>
          <w:rFonts w:ascii="Times New Roman" w:eastAsia="Times New Roman" w:hAnsi="Times New Roman" w:cs="Times New Roman"/>
          <w:kern w:val="0"/>
          <w:lang w:eastAsia="fr-FR"/>
          <w14:ligatures w14:val="none"/>
        </w:rPr>
        <w:t xml:space="preserve"> d’un abri, les exigences relatives au compas deviennent identiques à celles des navires de plaisance traditionnels. Le système de positionnement satellitaire étanche faisant fonction de compas n’est plus mentionné comme une alternative directe dans ce paragraphe ; les pratiquants doivent désormais s’équiper du même </w:t>
      </w:r>
      <w:r w:rsidRPr="0086552B">
        <w:rPr>
          <w:rFonts w:ascii="Times New Roman" w:eastAsia="Times New Roman" w:hAnsi="Times New Roman" w:cs="Times New Roman"/>
          <w:b/>
          <w:bCs/>
          <w:kern w:val="0"/>
          <w:lang w:eastAsia="fr-FR"/>
          <w14:ligatures w14:val="none"/>
        </w:rPr>
        <w:t>compas magnétique de route</w:t>
      </w:r>
      <w:r w:rsidRPr="0086552B">
        <w:rPr>
          <w:rFonts w:ascii="Times New Roman" w:eastAsia="Times New Roman" w:hAnsi="Times New Roman" w:cs="Times New Roman"/>
          <w:kern w:val="0"/>
          <w:lang w:eastAsia="fr-FR"/>
          <w14:ligatures w14:val="none"/>
        </w:rPr>
        <w:t xml:space="preserve"> que celui prévu pour la navigation côtière.</w:t>
      </w:r>
    </w:p>
    <w:p w14:paraId="2466823F" w14:textId="77777777" w:rsidR="0086552B" w:rsidRPr="0086552B" w:rsidRDefault="0086552B" w:rsidP="0086552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6552B">
        <w:rPr>
          <w:rFonts w:ascii="Times New Roman" w:eastAsia="Times New Roman" w:hAnsi="Times New Roman" w:cs="Times New Roman"/>
          <w:b/>
          <w:bCs/>
          <w:kern w:val="0"/>
          <w:sz w:val="36"/>
          <w:szCs w:val="36"/>
          <w:lang w:eastAsia="fr-FR"/>
          <w14:ligatures w14:val="none"/>
        </w:rPr>
        <w:t>6. Modifications de la Division 241 du règlement général (Navires de Plaisance à Utilisation Commerciale – NUC)</w:t>
      </w:r>
    </w:p>
    <w:p w14:paraId="0B9F6B7A"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La réglementation encadrant les navires de plaisance à utilisation commerciale (NUC) de moins de 24 mètres évolue également de manière significative. Une analyse comparative entre l’ancienne et la nouvelle version de la </w:t>
      </w:r>
      <w:r w:rsidRPr="0086552B">
        <w:rPr>
          <w:rFonts w:ascii="Times New Roman" w:eastAsia="Times New Roman" w:hAnsi="Times New Roman" w:cs="Times New Roman"/>
          <w:b/>
          <w:bCs/>
          <w:kern w:val="0"/>
          <w:lang w:eastAsia="fr-FR"/>
          <w14:ligatures w14:val="none"/>
        </w:rPr>
        <w:t>Division 241</w:t>
      </w:r>
      <w:r w:rsidRPr="0086552B">
        <w:rPr>
          <w:rFonts w:ascii="Times New Roman" w:eastAsia="Times New Roman" w:hAnsi="Times New Roman" w:cs="Times New Roman"/>
          <w:kern w:val="0"/>
          <w:lang w:eastAsia="fr-FR"/>
          <w14:ligatures w14:val="none"/>
        </w:rPr>
        <w:t xml:space="preserve"> met en lumière une volonté de simplification administrative, une adaptation des exigences de sécurité au plus près de la réalité opérationnelle et un renforcement de l’encadrement de la navigation à grande vitesse.</w:t>
      </w:r>
    </w:p>
    <w:p w14:paraId="7DEAF0D2"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Voici un décryptage complet des principales évolutions.</w:t>
      </w:r>
    </w:p>
    <w:p w14:paraId="3925AFC3"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Refonte du champ d’application et nouvelles restrictions de vitesse</w:t>
      </w:r>
    </w:p>
    <w:p w14:paraId="75D48EE6"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L’un des changements les plus notables s’observe dès les dispositions générales :</w:t>
      </w:r>
    </w:p>
    <w:p w14:paraId="767AFD32" w14:textId="77777777" w:rsidR="0086552B" w:rsidRPr="0086552B" w:rsidRDefault="0086552B" w:rsidP="0086552B">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Interdiction de la grande vitesse :</w:t>
      </w:r>
      <w:r w:rsidRPr="0086552B">
        <w:rPr>
          <w:rFonts w:ascii="Times New Roman" w:eastAsia="Times New Roman" w:hAnsi="Times New Roman" w:cs="Times New Roman"/>
          <w:kern w:val="0"/>
          <w:lang w:eastAsia="fr-FR"/>
          <w14:ligatures w14:val="none"/>
        </w:rPr>
        <w:t xml:space="preserve"> La nouvelle mouture introduit une restriction majeure : les navires ne sont désormais </w:t>
      </w:r>
      <w:r w:rsidRPr="0086552B">
        <w:rPr>
          <w:rFonts w:ascii="Times New Roman" w:eastAsia="Times New Roman" w:hAnsi="Times New Roman" w:cs="Times New Roman"/>
          <w:b/>
          <w:bCs/>
          <w:kern w:val="0"/>
          <w:lang w:eastAsia="fr-FR"/>
          <w14:ligatures w14:val="none"/>
        </w:rPr>
        <w:t>plus autorisés à naviguer à une vitesse supérieure à 25 nœuds</w:t>
      </w:r>
      <w:r w:rsidRPr="0086552B">
        <w:rPr>
          <w:rFonts w:ascii="Times New Roman" w:eastAsia="Times New Roman" w:hAnsi="Times New Roman" w:cs="Times New Roman"/>
          <w:kern w:val="0"/>
          <w:lang w:eastAsia="fr-FR"/>
          <w14:ligatures w14:val="none"/>
        </w:rPr>
        <w:t>, sauf exceptions strictement encadrées.</w:t>
      </w:r>
    </w:p>
    <w:p w14:paraId="675059E1" w14:textId="77777777" w:rsidR="0086552B" w:rsidRPr="0086552B" w:rsidRDefault="0086552B" w:rsidP="0086552B">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Navires neufs spécifiques :</w:t>
      </w:r>
      <w:r w:rsidRPr="0086552B">
        <w:rPr>
          <w:rFonts w:ascii="Times New Roman" w:eastAsia="Times New Roman" w:hAnsi="Times New Roman" w:cs="Times New Roman"/>
          <w:kern w:val="0"/>
          <w:lang w:eastAsia="fr-FR"/>
          <w14:ligatures w14:val="none"/>
        </w:rPr>
        <w:t xml:space="preserve"> Le texte clarifie ses cibles en visant explicitement les navires neufs conçus et construits spécifiquement pour embarquer un équipage et des passagers à des fins commerciales.</w:t>
      </w:r>
    </w:p>
    <w:p w14:paraId="1094EA2D"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Matériel d’armement : l’apparition du « semi-hauturier »</w:t>
      </w:r>
    </w:p>
    <w:p w14:paraId="3BE8873B"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lastRenderedPageBreak/>
        <w:t>Dans l’ancienne version, la distinction du matériel de sécurité oscillait de manière binaire entre le matériel « côtier » (jusqu’à la 4e catégorie) et le matériel « hauturier » pour les autres cas.</w:t>
      </w:r>
    </w:p>
    <w:p w14:paraId="6298B5D4" w14:textId="77777777" w:rsidR="0086552B" w:rsidRPr="0086552B" w:rsidRDefault="0086552B" w:rsidP="0086552B">
      <w:pPr>
        <w:numPr>
          <w:ilvl w:val="0"/>
          <w:numId w:val="1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Comblement du fossé réglementaire :</w:t>
      </w:r>
      <w:r w:rsidRPr="0086552B">
        <w:rPr>
          <w:rFonts w:ascii="Times New Roman" w:eastAsia="Times New Roman" w:hAnsi="Times New Roman" w:cs="Times New Roman"/>
          <w:kern w:val="0"/>
          <w:lang w:eastAsia="fr-FR"/>
          <w14:ligatures w14:val="none"/>
        </w:rPr>
        <w:t xml:space="preserve"> La nouvelle version intègre la notion de matériel </w:t>
      </w:r>
      <w:r w:rsidRPr="0086552B">
        <w:rPr>
          <w:rFonts w:ascii="Times New Roman" w:eastAsia="Times New Roman" w:hAnsi="Times New Roman" w:cs="Times New Roman"/>
          <w:b/>
          <w:bCs/>
          <w:kern w:val="0"/>
          <w:lang w:eastAsia="fr-FR"/>
          <w14:ligatures w14:val="none"/>
        </w:rPr>
        <w:t>semi-hauturier</w:t>
      </w:r>
      <w:r w:rsidRPr="0086552B">
        <w:rPr>
          <w:rFonts w:ascii="Times New Roman" w:eastAsia="Times New Roman" w:hAnsi="Times New Roman" w:cs="Times New Roman"/>
          <w:kern w:val="0"/>
          <w:lang w:eastAsia="fr-FR"/>
          <w14:ligatures w14:val="none"/>
        </w:rPr>
        <w:t>.</w:t>
      </w:r>
    </w:p>
    <w:p w14:paraId="1784663A" w14:textId="77777777" w:rsidR="0086552B" w:rsidRPr="0086552B" w:rsidRDefault="0086552B" w:rsidP="0086552B">
      <w:pPr>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Application cible :</w:t>
      </w:r>
      <w:r w:rsidRPr="0086552B">
        <w:rPr>
          <w:rFonts w:ascii="Times New Roman" w:eastAsia="Times New Roman" w:hAnsi="Times New Roman" w:cs="Times New Roman"/>
          <w:kern w:val="0"/>
          <w:lang w:eastAsia="fr-FR"/>
          <w14:ligatures w14:val="none"/>
        </w:rPr>
        <w:t xml:space="preserve"> Ce matériel intermédiaire devient obligatoire pour les navires effectuant des navigations en 3e catégorie ainsi qu’en 2e catégorie restreinte (limite des 60 milles). Cela permet d’ajuster plus finement la drome de sécurité sans imposer immédiatement les lourdes contraintes du hauturier complet.</w:t>
      </w:r>
    </w:p>
    <w:p w14:paraId="4D527B3D"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Exploitation à la journée : fin de l’obligation de retour au port-base fixe</w:t>
      </w:r>
    </w:p>
    <w:p w14:paraId="704EA787"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Sous l’ancien régime, les navires dits « à la journée » étaient soumis à un carcan géographique très strict : obligation d’appareiller d’un port-base identifié, de ne pas s’en éloigner de plus de 20 milles, et d’y revenir obligatoirement en fin de journée, le tout assorti d’un affichage physique à bord.</w:t>
      </w:r>
    </w:p>
    <w:p w14:paraId="147DD41E" w14:textId="77777777" w:rsidR="0086552B" w:rsidRPr="0086552B" w:rsidRDefault="0086552B" w:rsidP="0086552B">
      <w:pPr>
        <w:numPr>
          <w:ilvl w:val="0"/>
          <w:numId w:val="2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Flexibilité opérationnelle :</w:t>
      </w:r>
      <w:r w:rsidRPr="0086552B">
        <w:rPr>
          <w:rFonts w:ascii="Times New Roman" w:eastAsia="Times New Roman" w:hAnsi="Times New Roman" w:cs="Times New Roman"/>
          <w:kern w:val="0"/>
          <w:lang w:eastAsia="fr-FR"/>
          <w14:ligatures w14:val="none"/>
        </w:rPr>
        <w:t xml:space="preserve"> La nouvelle version de la Division 241 </w:t>
      </w:r>
      <w:r w:rsidRPr="0086552B">
        <w:rPr>
          <w:rFonts w:ascii="Times New Roman" w:eastAsia="Times New Roman" w:hAnsi="Times New Roman" w:cs="Times New Roman"/>
          <w:b/>
          <w:bCs/>
          <w:kern w:val="0"/>
          <w:lang w:eastAsia="fr-FR"/>
          <w14:ligatures w14:val="none"/>
        </w:rPr>
        <w:t>assouplit ce concept de navigation à la journée</w:t>
      </w:r>
      <w:r w:rsidRPr="0086552B">
        <w:rPr>
          <w:rFonts w:ascii="Times New Roman" w:eastAsia="Times New Roman" w:hAnsi="Times New Roman" w:cs="Times New Roman"/>
          <w:kern w:val="0"/>
          <w:lang w:eastAsia="fr-FR"/>
          <w14:ligatures w14:val="none"/>
        </w:rPr>
        <w:t xml:space="preserve">. Elle supprime ces contraintes géographiques rigides liées au port-base unique, s’adaptant ainsi aux réalités des professionnels du tourisme nautique qui opèrent sur des zones de navigation plus vastes ou </w:t>
      </w:r>
      <w:proofErr w:type="spellStart"/>
      <w:r w:rsidRPr="0086552B">
        <w:rPr>
          <w:rFonts w:ascii="Times New Roman" w:eastAsia="Times New Roman" w:hAnsi="Times New Roman" w:cs="Times New Roman"/>
          <w:kern w:val="0"/>
          <w:lang w:eastAsia="fr-FR"/>
          <w14:ligatures w14:val="none"/>
        </w:rPr>
        <w:t>multi-sites</w:t>
      </w:r>
      <w:proofErr w:type="spellEnd"/>
      <w:r w:rsidRPr="0086552B">
        <w:rPr>
          <w:rFonts w:ascii="Times New Roman" w:eastAsia="Times New Roman" w:hAnsi="Times New Roman" w:cs="Times New Roman"/>
          <w:kern w:val="0"/>
          <w:lang w:eastAsia="fr-FR"/>
          <w14:ligatures w14:val="none"/>
        </w:rPr>
        <w:t>.</w:t>
      </w:r>
    </w:p>
    <w:p w14:paraId="3A3F2FEE"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Encadrement de la sécurité à bord : des consignes plus accessibles</w:t>
      </w:r>
    </w:p>
    <w:p w14:paraId="251E9DAC"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Bien que l’ancienne version imposât déjà des exercices réguliers (incendie, abandon) et un affichage des rôles de secours, la mise à jour va plus loin dans la culture de la sécurité :</w:t>
      </w:r>
    </w:p>
    <w:p w14:paraId="22938BA7" w14:textId="77777777" w:rsidR="0086552B" w:rsidRPr="0086552B" w:rsidRDefault="0086552B" w:rsidP="0086552B">
      <w:pPr>
        <w:numPr>
          <w:ilvl w:val="0"/>
          <w:numId w:val="2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Accessibilité accrue :</w:t>
      </w:r>
      <w:r w:rsidRPr="0086552B">
        <w:rPr>
          <w:rFonts w:ascii="Times New Roman" w:eastAsia="Times New Roman" w:hAnsi="Times New Roman" w:cs="Times New Roman"/>
          <w:kern w:val="0"/>
          <w:lang w:eastAsia="fr-FR"/>
          <w14:ligatures w14:val="none"/>
        </w:rPr>
        <w:t xml:space="preserve"> L’exigence d’accessibilité à des consignes adaptées au navire est renforcée pour toutes les personnes à bord. Ces consignes doivent détailler précisément l’utilisation des matériels, l’évacuation et les procédures d’abandon.</w:t>
      </w:r>
    </w:p>
    <w:p w14:paraId="11615A0A" w14:textId="77777777" w:rsidR="0086552B" w:rsidRPr="0086552B" w:rsidRDefault="0086552B" w:rsidP="0086552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Rôle des passagers :</w:t>
      </w:r>
      <w:r w:rsidRPr="0086552B">
        <w:rPr>
          <w:rFonts w:ascii="Times New Roman" w:eastAsia="Times New Roman" w:hAnsi="Times New Roman" w:cs="Times New Roman"/>
          <w:kern w:val="0"/>
          <w:lang w:eastAsia="fr-FR"/>
          <w14:ligatures w14:val="none"/>
        </w:rPr>
        <w:t xml:space="preserve"> Le nouveau texte clarifie également le statut des passagers. Sous la responsabilité directe de l’équipage, ces derniers peuvent désormais </w:t>
      </w:r>
      <w:r w:rsidRPr="0086552B">
        <w:rPr>
          <w:rFonts w:ascii="Times New Roman" w:eastAsia="Times New Roman" w:hAnsi="Times New Roman" w:cs="Times New Roman"/>
          <w:b/>
          <w:bCs/>
          <w:kern w:val="0"/>
          <w:lang w:eastAsia="fr-FR"/>
          <w14:ligatures w14:val="none"/>
        </w:rPr>
        <w:t>participer de façon volontaire aux manœuvres simples</w:t>
      </w:r>
      <w:r w:rsidRPr="0086552B">
        <w:rPr>
          <w:rFonts w:ascii="Times New Roman" w:eastAsia="Times New Roman" w:hAnsi="Times New Roman" w:cs="Times New Roman"/>
          <w:kern w:val="0"/>
          <w:lang w:eastAsia="fr-FR"/>
          <w14:ligatures w14:val="none"/>
        </w:rPr>
        <w:t xml:space="preserve"> du navire. L’équipage doit cependant rester en capacité de manœuvrer seul et à tout moment sans leur aide.</w:t>
      </w:r>
    </w:p>
    <w:p w14:paraId="5EC7F956"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Rationalisation des règles de conformité (Marquage CE)</w:t>
      </w:r>
    </w:p>
    <w:p w14:paraId="38B551ED"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 xml:space="preserve">L’évaluation de la conformité des navires exclus du marquage CE ou évalués selon différents modules de construction (modules A bis, B+C, D, etc.) subit une réécriture de fond. L’objectif affiché par le législateur est de centraliser et d’harmoniser les critères pour n’avoir </w:t>
      </w:r>
      <w:r w:rsidRPr="0086552B">
        <w:rPr>
          <w:rFonts w:ascii="Times New Roman" w:eastAsia="Times New Roman" w:hAnsi="Times New Roman" w:cs="Times New Roman"/>
          <w:b/>
          <w:bCs/>
          <w:kern w:val="0"/>
          <w:lang w:eastAsia="fr-FR"/>
          <w14:ligatures w14:val="none"/>
        </w:rPr>
        <w:t>qu’un seul texte de référence applicable</w:t>
      </w:r>
      <w:r w:rsidRPr="0086552B">
        <w:rPr>
          <w:rFonts w:ascii="Times New Roman" w:eastAsia="Times New Roman" w:hAnsi="Times New Roman" w:cs="Times New Roman"/>
          <w:kern w:val="0"/>
          <w:lang w:eastAsia="fr-FR"/>
          <w14:ligatures w14:val="none"/>
        </w:rPr>
        <w:t xml:space="preserve"> pour les porteurs de projets et les inspecteurs des Centres de Sécurité des Navires (CSN), simplifiant l’instruction des dossiers de mise en service.</w:t>
      </w:r>
    </w:p>
    <w:p w14:paraId="1F14CA57" w14:textId="77777777" w:rsidR="0086552B" w:rsidRPr="0086552B" w:rsidRDefault="0086552B" w:rsidP="0086552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86552B">
        <w:rPr>
          <w:rFonts w:ascii="Times New Roman" w:eastAsia="Times New Roman" w:hAnsi="Times New Roman" w:cs="Times New Roman"/>
          <w:b/>
          <w:bCs/>
          <w:kern w:val="0"/>
          <w:sz w:val="27"/>
          <w:szCs w:val="27"/>
          <w:lang w:eastAsia="fr-FR"/>
          <w14:ligatures w14:val="none"/>
        </w:rPr>
        <w:t>En résumé</w:t>
      </w:r>
    </w:p>
    <w:p w14:paraId="7BA32BE4"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t>Cette refonte de la Division 241 modernise le statut des NUC en France. En supprimant le carcan du port-base pour la navigation diurne et en insérant une catégorie de sécurité « semi-</w:t>
      </w:r>
      <w:r w:rsidRPr="0086552B">
        <w:rPr>
          <w:rFonts w:ascii="Times New Roman" w:eastAsia="Times New Roman" w:hAnsi="Times New Roman" w:cs="Times New Roman"/>
          <w:kern w:val="0"/>
          <w:lang w:eastAsia="fr-FR"/>
          <w14:ligatures w14:val="none"/>
        </w:rPr>
        <w:lastRenderedPageBreak/>
        <w:t>hauturière » mieux proportionnée, elle offre plus de libertés aux exploitants. En contrepartie, elle pose des barrières nettes sur la vitesse (limite à 25 nœuds) et augmente l’exigence d’information des passagers en cas d’urgence.</w:t>
      </w:r>
    </w:p>
    <w:p w14:paraId="3DD7C430" w14:textId="77777777" w:rsidR="0086552B" w:rsidRPr="0086552B" w:rsidRDefault="0086552B" w:rsidP="0086552B">
      <w:pPr>
        <w:spacing w:after="0"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kern w:val="0"/>
          <w:lang w:eastAsia="fr-FR"/>
          <w14:ligatures w14:val="none"/>
        </w:rPr>
        <w:pict w14:anchorId="75ECB1E0">
          <v:rect id="_x0000_i1025" style="width:0;height:1.5pt" o:hralign="center" o:hrstd="t" o:hr="t" fillcolor="#a0a0a0" stroked="f"/>
        </w:pict>
      </w:r>
    </w:p>
    <w:p w14:paraId="198E30BE" w14:textId="77777777" w:rsidR="0086552B" w:rsidRPr="0086552B" w:rsidRDefault="0086552B" w:rsidP="0086552B">
      <w:pPr>
        <w:spacing w:before="100" w:beforeAutospacing="1" w:after="100" w:afterAutospacing="1" w:line="240" w:lineRule="auto"/>
        <w:rPr>
          <w:rFonts w:ascii="Times New Roman" w:eastAsia="Times New Roman" w:hAnsi="Times New Roman" w:cs="Times New Roman"/>
          <w:kern w:val="0"/>
          <w:lang w:eastAsia="fr-FR"/>
          <w14:ligatures w14:val="none"/>
        </w:rPr>
      </w:pPr>
      <w:r w:rsidRPr="0086552B">
        <w:rPr>
          <w:rFonts w:ascii="Times New Roman" w:eastAsia="Times New Roman" w:hAnsi="Times New Roman" w:cs="Times New Roman"/>
          <w:b/>
          <w:bCs/>
          <w:kern w:val="0"/>
          <w:lang w:eastAsia="fr-FR"/>
          <w14:ligatures w14:val="none"/>
        </w:rPr>
        <w:t xml:space="preserve">Référence </w:t>
      </w:r>
      <w:r w:rsidRPr="0086552B">
        <w:rPr>
          <w:rFonts w:ascii="Times New Roman" w:eastAsia="Times New Roman" w:hAnsi="Times New Roman" w:cs="Times New Roman"/>
          <w:kern w:val="0"/>
          <w:lang w:eastAsia="fr-FR"/>
          <w14:ligatures w14:val="none"/>
        </w:rPr>
        <w:t xml:space="preserve">: </w:t>
      </w:r>
      <w:hyperlink r:id="rId6" w:history="1">
        <w:r w:rsidRPr="0086552B">
          <w:rPr>
            <w:rFonts w:ascii="Times New Roman" w:eastAsia="Times New Roman" w:hAnsi="Times New Roman" w:cs="Times New Roman"/>
            <w:color w:val="0000FF"/>
            <w:kern w:val="0"/>
            <w:u w:val="single"/>
            <w:lang w:eastAsia="fr-FR"/>
            <w14:ligatures w14:val="none"/>
          </w:rPr>
          <w:t>Arrêté du 21 mai 2026 [J.O. du 6 juin].</w:t>
        </w:r>
      </w:hyperlink>
    </w:p>
    <w:p w14:paraId="179487D4" w14:textId="77777777" w:rsidR="005B0E37" w:rsidRDefault="005B0E37"/>
    <w:sectPr w:rsidR="005B0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4C8"/>
    <w:multiLevelType w:val="multilevel"/>
    <w:tmpl w:val="8ECC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569C"/>
    <w:multiLevelType w:val="multilevel"/>
    <w:tmpl w:val="DE78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3F5"/>
    <w:multiLevelType w:val="multilevel"/>
    <w:tmpl w:val="5EB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4A8B"/>
    <w:multiLevelType w:val="multilevel"/>
    <w:tmpl w:val="163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108A7"/>
    <w:multiLevelType w:val="multilevel"/>
    <w:tmpl w:val="2E84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5090A"/>
    <w:multiLevelType w:val="multilevel"/>
    <w:tmpl w:val="EB4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E0C42"/>
    <w:multiLevelType w:val="multilevel"/>
    <w:tmpl w:val="E112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21571"/>
    <w:multiLevelType w:val="multilevel"/>
    <w:tmpl w:val="9C86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D7668"/>
    <w:multiLevelType w:val="multilevel"/>
    <w:tmpl w:val="8D42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016C0"/>
    <w:multiLevelType w:val="multilevel"/>
    <w:tmpl w:val="D7B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009F8"/>
    <w:multiLevelType w:val="multilevel"/>
    <w:tmpl w:val="4A44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0386C"/>
    <w:multiLevelType w:val="multilevel"/>
    <w:tmpl w:val="6E18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435CD"/>
    <w:multiLevelType w:val="multilevel"/>
    <w:tmpl w:val="615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A1D61"/>
    <w:multiLevelType w:val="hybridMultilevel"/>
    <w:tmpl w:val="9B522498"/>
    <w:lvl w:ilvl="0" w:tplc="45D8D272">
      <w:start w:val="1"/>
      <w:numFmt w:val="decimal"/>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EE29D9"/>
    <w:multiLevelType w:val="multilevel"/>
    <w:tmpl w:val="6354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21F3F"/>
    <w:multiLevelType w:val="multilevel"/>
    <w:tmpl w:val="EDC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90C6C"/>
    <w:multiLevelType w:val="multilevel"/>
    <w:tmpl w:val="85C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4227B"/>
    <w:multiLevelType w:val="multilevel"/>
    <w:tmpl w:val="F674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E541F"/>
    <w:multiLevelType w:val="multilevel"/>
    <w:tmpl w:val="F15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84CE0"/>
    <w:multiLevelType w:val="multilevel"/>
    <w:tmpl w:val="042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E4A16"/>
    <w:multiLevelType w:val="multilevel"/>
    <w:tmpl w:val="06705F9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2CE069B"/>
    <w:multiLevelType w:val="multilevel"/>
    <w:tmpl w:val="416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F6FF5"/>
    <w:multiLevelType w:val="multilevel"/>
    <w:tmpl w:val="CA42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673580">
    <w:abstractNumId w:val="13"/>
  </w:num>
  <w:num w:numId="2" w16cid:durableId="2079547594">
    <w:abstractNumId w:val="20"/>
  </w:num>
  <w:num w:numId="3" w16cid:durableId="1059670967">
    <w:abstractNumId w:val="2"/>
  </w:num>
  <w:num w:numId="4" w16cid:durableId="1359618048">
    <w:abstractNumId w:val="17"/>
  </w:num>
  <w:num w:numId="5" w16cid:durableId="983240333">
    <w:abstractNumId w:val="15"/>
  </w:num>
  <w:num w:numId="6" w16cid:durableId="798954383">
    <w:abstractNumId w:val="14"/>
  </w:num>
  <w:num w:numId="7" w16cid:durableId="1829248784">
    <w:abstractNumId w:val="1"/>
  </w:num>
  <w:num w:numId="8" w16cid:durableId="106894235">
    <w:abstractNumId w:val="21"/>
  </w:num>
  <w:num w:numId="9" w16cid:durableId="251939808">
    <w:abstractNumId w:val="18"/>
  </w:num>
  <w:num w:numId="10" w16cid:durableId="879709605">
    <w:abstractNumId w:val="4"/>
  </w:num>
  <w:num w:numId="11" w16cid:durableId="412774245">
    <w:abstractNumId w:val="22"/>
  </w:num>
  <w:num w:numId="12" w16cid:durableId="350761400">
    <w:abstractNumId w:val="11"/>
  </w:num>
  <w:num w:numId="13" w16cid:durableId="1370690286">
    <w:abstractNumId w:val="3"/>
  </w:num>
  <w:num w:numId="14" w16cid:durableId="435439829">
    <w:abstractNumId w:val="19"/>
  </w:num>
  <w:num w:numId="15" w16cid:durableId="144860693">
    <w:abstractNumId w:val="12"/>
  </w:num>
  <w:num w:numId="16" w16cid:durableId="1557669013">
    <w:abstractNumId w:val="0"/>
  </w:num>
  <w:num w:numId="17" w16cid:durableId="2053536927">
    <w:abstractNumId w:val="6"/>
  </w:num>
  <w:num w:numId="18" w16cid:durableId="224800309">
    <w:abstractNumId w:val="7"/>
  </w:num>
  <w:num w:numId="19" w16cid:durableId="771510302">
    <w:abstractNumId w:val="16"/>
  </w:num>
  <w:num w:numId="20" w16cid:durableId="1269314197">
    <w:abstractNumId w:val="10"/>
  </w:num>
  <w:num w:numId="21" w16cid:durableId="135345804">
    <w:abstractNumId w:val="8"/>
  </w:num>
  <w:num w:numId="22" w16cid:durableId="58479811">
    <w:abstractNumId w:val="9"/>
  </w:num>
  <w:num w:numId="23" w16cid:durableId="12944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B"/>
    <w:rsid w:val="000D31D7"/>
    <w:rsid w:val="000F3C55"/>
    <w:rsid w:val="002501FD"/>
    <w:rsid w:val="005A7606"/>
    <w:rsid w:val="005B0E37"/>
    <w:rsid w:val="007A437F"/>
    <w:rsid w:val="008459DA"/>
    <w:rsid w:val="00865158"/>
    <w:rsid w:val="0086552B"/>
    <w:rsid w:val="00A06520"/>
    <w:rsid w:val="00B51433"/>
    <w:rsid w:val="00B64122"/>
    <w:rsid w:val="00C67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1987"/>
  <w15:chartTrackingRefBased/>
  <w15:docId w15:val="{DAAE8598-12F7-4FF6-8E39-D9E0C13E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DA"/>
    <w:rPr>
      <w:rFonts w:ascii="Arial" w:hAnsi="Arial"/>
    </w:rPr>
  </w:style>
  <w:style w:type="paragraph" w:styleId="Titre1">
    <w:name w:val="heading 1"/>
    <w:basedOn w:val="Normal"/>
    <w:next w:val="Normal"/>
    <w:link w:val="Titre1Car"/>
    <w:uiPriority w:val="9"/>
    <w:qFormat/>
    <w:rsid w:val="00865158"/>
    <w:pPr>
      <w:keepNext/>
      <w:keepLines/>
      <w:widowControl w:val="0"/>
      <w:numPr>
        <w:numId w:val="2"/>
      </w:numPr>
      <w:spacing w:before="320" w:after="0" w:line="240" w:lineRule="auto"/>
      <w:ind w:left="142" w:hanging="357"/>
      <w:outlineLvl w:val="0"/>
    </w:pPr>
    <w:rPr>
      <w:rFonts w:eastAsiaTheme="majorEastAsia" w:cstheme="majorBidi"/>
      <w:b/>
      <w:bCs/>
      <w:color w:val="0070C0"/>
      <w:sz w:val="28"/>
      <w:szCs w:val="28"/>
    </w:rPr>
  </w:style>
  <w:style w:type="paragraph" w:styleId="Titre2">
    <w:name w:val="heading 2"/>
    <w:basedOn w:val="Normal"/>
    <w:next w:val="Normal"/>
    <w:link w:val="Titre2Car"/>
    <w:uiPriority w:val="9"/>
    <w:unhideWhenUsed/>
    <w:qFormat/>
    <w:rsid w:val="008459DA"/>
    <w:pPr>
      <w:keepNext/>
      <w:keepLines/>
      <w:spacing w:before="160" w:after="80"/>
      <w:outlineLvl w:val="1"/>
    </w:pPr>
    <w:rPr>
      <w:rFonts w:eastAsiaTheme="majorEastAsia" w:cstheme="majorBidi"/>
      <w:color w:val="4C94D8" w:themeColor="text2" w:themeTint="80"/>
      <w:sz w:val="32"/>
      <w:szCs w:val="32"/>
      <w:u w:val="single"/>
    </w:rPr>
  </w:style>
  <w:style w:type="paragraph" w:styleId="Titre3">
    <w:name w:val="heading 3"/>
    <w:basedOn w:val="Normal"/>
    <w:next w:val="Normal"/>
    <w:link w:val="Titre3Car"/>
    <w:uiPriority w:val="9"/>
    <w:unhideWhenUsed/>
    <w:qFormat/>
    <w:rsid w:val="00C673C3"/>
    <w:pPr>
      <w:keepNext/>
      <w:keepLines/>
      <w:widowControl w:val="0"/>
      <w:spacing w:before="40" w:after="0" w:line="240" w:lineRule="auto"/>
      <w:outlineLvl w:val="2"/>
    </w:pPr>
    <w:rPr>
      <w:rFonts w:eastAsiaTheme="majorEastAsia" w:cstheme="majorBidi"/>
      <w:i/>
      <w:color w:val="0070C0"/>
    </w:rPr>
  </w:style>
  <w:style w:type="paragraph" w:styleId="Titre4">
    <w:name w:val="heading 4"/>
    <w:basedOn w:val="Normal"/>
    <w:next w:val="Normal"/>
    <w:link w:val="Titre4Car"/>
    <w:uiPriority w:val="9"/>
    <w:semiHidden/>
    <w:unhideWhenUsed/>
    <w:qFormat/>
    <w:rsid w:val="008655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655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655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655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655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655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F3C55"/>
    <w:pPr>
      <w:spacing w:after="0" w:line="240" w:lineRule="auto"/>
      <w:contextualSpacing/>
    </w:pPr>
    <w:rPr>
      <w:rFonts w:eastAsiaTheme="majorEastAsia" w:cstheme="majorBidi"/>
      <w:b/>
      <w:color w:val="0F4761" w:themeColor="accent1" w:themeShade="BF"/>
      <w:spacing w:val="-10"/>
      <w:kern w:val="28"/>
      <w:sz w:val="28"/>
      <w:szCs w:val="56"/>
    </w:rPr>
  </w:style>
  <w:style w:type="character" w:customStyle="1" w:styleId="TitreCar">
    <w:name w:val="Titre Car"/>
    <w:basedOn w:val="Policepardfaut"/>
    <w:link w:val="Titre"/>
    <w:uiPriority w:val="10"/>
    <w:rsid w:val="000F3C55"/>
    <w:rPr>
      <w:rFonts w:ascii="Arial" w:eastAsiaTheme="majorEastAsia" w:hAnsi="Arial" w:cstheme="majorBidi"/>
      <w:b/>
      <w:color w:val="0F4761" w:themeColor="accent1" w:themeShade="BF"/>
      <w:spacing w:val="-10"/>
      <w:kern w:val="28"/>
      <w:sz w:val="28"/>
      <w:szCs w:val="56"/>
    </w:rPr>
  </w:style>
  <w:style w:type="character" w:customStyle="1" w:styleId="Titre2Car">
    <w:name w:val="Titre 2 Car"/>
    <w:basedOn w:val="Policepardfaut"/>
    <w:link w:val="Titre2"/>
    <w:uiPriority w:val="9"/>
    <w:rsid w:val="008459DA"/>
    <w:rPr>
      <w:rFonts w:ascii="Arial" w:eastAsiaTheme="majorEastAsia" w:hAnsi="Arial" w:cstheme="majorBidi"/>
      <w:color w:val="4C94D8" w:themeColor="text2" w:themeTint="80"/>
      <w:sz w:val="32"/>
      <w:szCs w:val="32"/>
      <w:u w:val="single"/>
    </w:rPr>
  </w:style>
  <w:style w:type="character" w:customStyle="1" w:styleId="Titre1Car">
    <w:name w:val="Titre 1 Car"/>
    <w:basedOn w:val="Policepardfaut"/>
    <w:link w:val="Titre1"/>
    <w:uiPriority w:val="9"/>
    <w:rsid w:val="00865158"/>
    <w:rPr>
      <w:rFonts w:ascii="Arial" w:eastAsiaTheme="majorEastAsia" w:hAnsi="Arial" w:cstheme="majorBidi"/>
      <w:b/>
      <w:bCs/>
      <w:color w:val="0070C0"/>
      <w:sz w:val="28"/>
      <w:szCs w:val="28"/>
    </w:rPr>
  </w:style>
  <w:style w:type="character" w:customStyle="1" w:styleId="Titre3Car">
    <w:name w:val="Titre 3 Car"/>
    <w:basedOn w:val="Policepardfaut"/>
    <w:link w:val="Titre3"/>
    <w:uiPriority w:val="9"/>
    <w:rsid w:val="00C673C3"/>
    <w:rPr>
      <w:rFonts w:ascii="Arial" w:eastAsiaTheme="majorEastAsia" w:hAnsi="Arial" w:cstheme="majorBidi"/>
      <w:i/>
      <w:color w:val="0070C0"/>
    </w:rPr>
  </w:style>
  <w:style w:type="character" w:customStyle="1" w:styleId="Titre4Car">
    <w:name w:val="Titre 4 Car"/>
    <w:basedOn w:val="Policepardfaut"/>
    <w:link w:val="Titre4"/>
    <w:uiPriority w:val="9"/>
    <w:semiHidden/>
    <w:rsid w:val="008655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55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55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55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55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552B"/>
    <w:rPr>
      <w:rFonts w:eastAsiaTheme="majorEastAsia" w:cstheme="majorBidi"/>
      <w:color w:val="272727" w:themeColor="text1" w:themeTint="D8"/>
    </w:rPr>
  </w:style>
  <w:style w:type="paragraph" w:styleId="Sous-titre">
    <w:name w:val="Subtitle"/>
    <w:basedOn w:val="Normal"/>
    <w:next w:val="Normal"/>
    <w:link w:val="Sous-titreCar"/>
    <w:uiPriority w:val="11"/>
    <w:qFormat/>
    <w:rsid w:val="008655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55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552B"/>
    <w:pPr>
      <w:spacing w:before="160"/>
      <w:jc w:val="center"/>
    </w:pPr>
    <w:rPr>
      <w:i/>
      <w:iCs/>
      <w:color w:val="404040" w:themeColor="text1" w:themeTint="BF"/>
    </w:rPr>
  </w:style>
  <w:style w:type="character" w:customStyle="1" w:styleId="CitationCar">
    <w:name w:val="Citation Car"/>
    <w:basedOn w:val="Policepardfaut"/>
    <w:link w:val="Citation"/>
    <w:uiPriority w:val="29"/>
    <w:rsid w:val="0086552B"/>
    <w:rPr>
      <w:rFonts w:ascii="Arial" w:hAnsi="Arial"/>
      <w:i/>
      <w:iCs/>
      <w:color w:val="404040" w:themeColor="text1" w:themeTint="BF"/>
    </w:rPr>
  </w:style>
  <w:style w:type="paragraph" w:styleId="Paragraphedeliste">
    <w:name w:val="List Paragraph"/>
    <w:basedOn w:val="Normal"/>
    <w:uiPriority w:val="34"/>
    <w:qFormat/>
    <w:rsid w:val="0086552B"/>
    <w:pPr>
      <w:ind w:left="720"/>
      <w:contextualSpacing/>
    </w:pPr>
  </w:style>
  <w:style w:type="character" w:styleId="Accentuationintense">
    <w:name w:val="Intense Emphasis"/>
    <w:basedOn w:val="Policepardfaut"/>
    <w:uiPriority w:val="21"/>
    <w:qFormat/>
    <w:rsid w:val="0086552B"/>
    <w:rPr>
      <w:i/>
      <w:iCs/>
      <w:color w:val="0F4761" w:themeColor="accent1" w:themeShade="BF"/>
    </w:rPr>
  </w:style>
  <w:style w:type="paragraph" w:styleId="Citationintense">
    <w:name w:val="Intense Quote"/>
    <w:basedOn w:val="Normal"/>
    <w:next w:val="Normal"/>
    <w:link w:val="CitationintenseCar"/>
    <w:uiPriority w:val="30"/>
    <w:qFormat/>
    <w:rsid w:val="00865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552B"/>
    <w:rPr>
      <w:rFonts w:ascii="Arial" w:hAnsi="Arial"/>
      <w:i/>
      <w:iCs/>
      <w:color w:val="0F4761" w:themeColor="accent1" w:themeShade="BF"/>
    </w:rPr>
  </w:style>
  <w:style w:type="character" w:styleId="Rfrenceintense">
    <w:name w:val="Intense Reference"/>
    <w:basedOn w:val="Policepardfaut"/>
    <w:uiPriority w:val="32"/>
    <w:qFormat/>
    <w:rsid w:val="00865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id/JORFTEXT00005420809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9979</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Penhouet</dc:creator>
  <cp:keywords/>
  <dc:description/>
  <cp:lastModifiedBy>Louis Penhouet</cp:lastModifiedBy>
  <cp:revision>1</cp:revision>
  <dcterms:created xsi:type="dcterms:W3CDTF">2026-06-07T08:07:00Z</dcterms:created>
  <dcterms:modified xsi:type="dcterms:W3CDTF">2026-06-07T08:08:00Z</dcterms:modified>
</cp:coreProperties>
</file>